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9E50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AEC7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6F07AAF1" w14:textId="035989D2" w:rsidR="0088254E" w:rsidRPr="002F7E51" w:rsidRDefault="0060030D" w:rsidP="0088254E">
            <w:pPr>
              <w:rPr>
                <w:rFonts w:cstheme="minorHAnsi"/>
              </w:rPr>
            </w:pPr>
            <w:r>
              <w:rPr>
                <w:rFonts w:cstheme="minorHAnsi"/>
              </w:rPr>
              <w:t>Introduction to Financial Accounting</w:t>
            </w:r>
          </w:p>
        </w:tc>
      </w:tr>
      <w:tr w:rsidR="0088254E" w:rsidRPr="001C697E" w14:paraId="31F564AB" w14:textId="77777777" w:rsidTr="0088254E">
        <w:tc>
          <w:tcPr>
            <w:tcW w:w="2219" w:type="dxa"/>
          </w:tcPr>
          <w:p w14:paraId="426B85B6" w14:textId="0AD9132E" w:rsidR="0088254E" w:rsidRPr="002F7E51" w:rsidRDefault="009B347B" w:rsidP="0088254E">
            <w:pPr>
              <w:rPr>
                <w:rFonts w:cstheme="minorHAnsi"/>
              </w:rPr>
            </w:pPr>
            <w:r>
              <w:rPr>
                <w:rFonts w:cstheme="minorHAnsi"/>
              </w:rPr>
              <w:t>Spring 202</w:t>
            </w:r>
            <w:r w:rsidR="00482700">
              <w:rPr>
                <w:rFonts w:cstheme="minorHAnsi"/>
              </w:rPr>
              <w:t>4</w:t>
            </w:r>
            <w:r w:rsidR="00BE283F">
              <w:rPr>
                <w:rFonts w:cstheme="minorHAnsi"/>
              </w:rPr>
              <w:t xml:space="preserve"> (Online)</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5A54C74" w:rsidR="001C697E" w:rsidRPr="002F7E51" w:rsidRDefault="004A460B" w:rsidP="000F3624">
            <w:pPr>
              <w:rPr>
                <w:rFonts w:cstheme="minorHAnsi"/>
              </w:rPr>
            </w:pPr>
            <w:r>
              <w:rPr>
                <w:rFonts w:cstheme="minorHAnsi"/>
              </w:rPr>
              <w:t>CPS 4</w:t>
            </w:r>
            <w:r w:rsidR="00AE797A">
              <w:rPr>
                <w:rFonts w:cstheme="minorHAnsi"/>
              </w:rPr>
              <w:t>2</w:t>
            </w:r>
            <w:r w:rsidR="00F80001">
              <w:rPr>
                <w:rFonts w:cstheme="minorHAnsi"/>
              </w:rPr>
              <w:t>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41339FE4" w:rsidR="003336AE" w:rsidRPr="00BE283F" w:rsidRDefault="00CD360C" w:rsidP="00BE283F">
            <w:pPr>
              <w:pStyle w:val="Default"/>
              <w:rPr>
                <w:sz w:val="23"/>
                <w:szCs w:val="23"/>
              </w:rPr>
            </w:pPr>
            <w:r>
              <w:rPr>
                <w:sz w:val="23"/>
                <w:szCs w:val="23"/>
              </w:rPr>
              <w:t>1</w:t>
            </w:r>
            <w:r w:rsidR="00ED701A">
              <w:rPr>
                <w:sz w:val="23"/>
                <w:szCs w:val="23"/>
              </w:rPr>
              <w:t>0</w:t>
            </w:r>
            <w:r w:rsidR="00BE283F">
              <w:rPr>
                <w:sz w:val="23"/>
                <w:szCs w:val="23"/>
              </w:rPr>
              <w:t>:00 am to 1</w:t>
            </w:r>
            <w:r w:rsidR="00ED701A">
              <w:rPr>
                <w:sz w:val="23"/>
                <w:szCs w:val="23"/>
              </w:rPr>
              <w:t>1</w:t>
            </w:r>
            <w:r w:rsidR="00BE283F">
              <w:rPr>
                <w:sz w:val="23"/>
                <w:szCs w:val="23"/>
              </w:rPr>
              <w:t xml:space="preserve">:00 </w:t>
            </w:r>
            <w:r>
              <w:rPr>
                <w:sz w:val="23"/>
                <w:szCs w:val="23"/>
              </w:rPr>
              <w:t>p</w:t>
            </w:r>
            <w:r w:rsidR="00BE283F">
              <w:rPr>
                <w:sz w:val="23"/>
                <w:szCs w:val="23"/>
              </w:rPr>
              <w:t>m</w:t>
            </w:r>
            <w:r w:rsidR="00AD622F">
              <w:rPr>
                <w:sz w:val="23"/>
                <w:szCs w:val="23"/>
              </w:rPr>
              <w:t xml:space="preserve"> Tuesday</w:t>
            </w:r>
            <w:r w:rsidR="009B347B">
              <w:rPr>
                <w:sz w:val="23"/>
                <w:szCs w:val="23"/>
              </w:rPr>
              <w:t xml:space="preserve"> and</w:t>
            </w:r>
            <w:r w:rsidR="00AD622F">
              <w:rPr>
                <w:sz w:val="23"/>
                <w:szCs w:val="23"/>
              </w:rPr>
              <w:t xml:space="preserve"> Thursday</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6A859129" w14:textId="77777777" w:rsidR="001C697E" w:rsidRDefault="004A460B" w:rsidP="000F3624">
            <w:pPr>
              <w:rPr>
                <w:rFonts w:cstheme="minorHAnsi"/>
              </w:rPr>
            </w:pPr>
            <w:r>
              <w:rPr>
                <w:rFonts w:cstheme="minorHAnsi"/>
              </w:rPr>
              <w:t>Upon Request</w:t>
            </w:r>
            <w:r w:rsidR="00482700">
              <w:rPr>
                <w:rFonts w:cstheme="minorHAnsi"/>
              </w:rPr>
              <w:t xml:space="preserve"> We Can Do Zoom</w:t>
            </w:r>
          </w:p>
          <w:p w14:paraId="0E732A5B" w14:textId="712B784A" w:rsidR="00482700" w:rsidRPr="002F7E51" w:rsidRDefault="00482700"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65EAB4B" w:rsidR="001C697E" w:rsidRPr="002F7E51" w:rsidRDefault="004A460B" w:rsidP="000F3624">
            <w:pPr>
              <w:rPr>
                <w:rFonts w:cstheme="minorHAnsi"/>
              </w:rPr>
            </w:pPr>
            <w:r>
              <w:rPr>
                <w:rFonts w:cstheme="minorHAnsi"/>
              </w:rPr>
              <w:t>715-572-6841</w:t>
            </w:r>
            <w:r w:rsidR="006D3199">
              <w:rPr>
                <w:rFonts w:cstheme="minorHAnsi"/>
              </w:rPr>
              <w:t xml:space="preserve"> (text also available)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ED701A"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w:t>
            </w:r>
            <w:proofErr w:type="spellStart"/>
            <w:r>
              <w:rPr>
                <w:rFonts w:cstheme="minorHAnsi"/>
              </w:rPr>
              <w:t>Kieso</w:t>
            </w:r>
            <w:proofErr w:type="spellEnd"/>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lastRenderedPageBreak/>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55EE7B2" w:rsidR="00CB4E89" w:rsidRPr="002F7E51" w:rsidRDefault="0003133A" w:rsidP="000F3624">
            <w:pPr>
              <w:rPr>
                <w:rFonts w:cstheme="minorHAnsi"/>
              </w:rPr>
            </w:pPr>
            <w:r>
              <w:rPr>
                <w:rFonts w:cstheme="minorHAnsi"/>
              </w:rPr>
              <w:t>Since this class is on your own pace there will be no reduction for late work.</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71BDBD7E" w14:textId="77777777" w:rsidR="0003133A" w:rsidRDefault="0003133A"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3B4AD90D" w:rsidR="007C30C3" w:rsidRPr="00361651" w:rsidRDefault="0003133A" w:rsidP="007C30C3">
            <w:pPr>
              <w:tabs>
                <w:tab w:val="left" w:pos="-720"/>
              </w:tabs>
              <w:suppressAutoHyphens/>
              <w:spacing w:line="276" w:lineRule="auto"/>
              <w:jc w:val="center"/>
              <w:rPr>
                <w:spacing w:val="-3"/>
                <w:szCs w:val="24"/>
              </w:rPr>
            </w:pPr>
            <w:r>
              <w:rPr>
                <w:spacing w:val="-3"/>
                <w:szCs w:val="24"/>
              </w:rPr>
              <w:t>50</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4E545482" w:rsidR="007C30C3" w:rsidRPr="00361651" w:rsidRDefault="00F157AE" w:rsidP="007C30C3">
            <w:pPr>
              <w:tabs>
                <w:tab w:val="left" w:pos="-720"/>
              </w:tabs>
              <w:suppressAutoHyphens/>
              <w:spacing w:line="276" w:lineRule="auto"/>
              <w:jc w:val="center"/>
              <w:rPr>
                <w:spacing w:val="-3"/>
                <w:szCs w:val="24"/>
              </w:rPr>
            </w:pPr>
            <w:r>
              <w:rPr>
                <w:spacing w:val="-3"/>
                <w:szCs w:val="24"/>
              </w:rPr>
              <w:t>5</w:t>
            </w:r>
            <w:r w:rsidR="0003133A">
              <w:rPr>
                <w:spacing w:val="-3"/>
                <w:szCs w:val="24"/>
              </w:rPr>
              <w:t>75</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proofErr w:type="gramStart"/>
            <w:r>
              <w:t>Attend</w:t>
            </w:r>
            <w:proofErr w:type="gramEnd"/>
            <w:r>
              <w:t xml:space="preserve">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proofErr w:type="gramStart"/>
            <w:r>
              <w:t>Attend</w:t>
            </w:r>
            <w:proofErr w:type="gramEnd"/>
            <w:r>
              <w:t xml:space="preserve">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w:t>
            </w:r>
            <w:proofErr w:type="gramStart"/>
            <w:r>
              <w:t>question  about</w:t>
            </w:r>
            <w:proofErr w:type="gramEnd"/>
            <w:r>
              <w:t xml:space="preserve">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7C7044">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E758" w14:textId="77777777" w:rsidR="007C7044" w:rsidRDefault="007C7044" w:rsidP="00C35C23">
      <w:r>
        <w:separator/>
      </w:r>
    </w:p>
  </w:endnote>
  <w:endnote w:type="continuationSeparator" w:id="0">
    <w:p w14:paraId="77201B75" w14:textId="77777777" w:rsidR="007C7044" w:rsidRDefault="007C704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1AEC61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D701A">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7D75" w14:textId="77777777" w:rsidR="007C7044" w:rsidRDefault="007C7044" w:rsidP="00C35C23">
      <w:r>
        <w:separator/>
      </w:r>
    </w:p>
  </w:footnote>
  <w:footnote w:type="continuationSeparator" w:id="0">
    <w:p w14:paraId="6201C8EA" w14:textId="77777777" w:rsidR="007C7044" w:rsidRDefault="007C704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972430">
    <w:abstractNumId w:val="2"/>
  </w:num>
  <w:num w:numId="2" w16cid:durableId="736322820">
    <w:abstractNumId w:val="5"/>
  </w:num>
  <w:num w:numId="3" w16cid:durableId="59134236">
    <w:abstractNumId w:val="9"/>
  </w:num>
  <w:num w:numId="4" w16cid:durableId="1237204388">
    <w:abstractNumId w:val="12"/>
  </w:num>
  <w:num w:numId="5" w16cid:durableId="998844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698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688688">
    <w:abstractNumId w:val="9"/>
  </w:num>
  <w:num w:numId="8" w16cid:durableId="1114129256">
    <w:abstractNumId w:val="9"/>
  </w:num>
  <w:num w:numId="9" w16cid:durableId="379475560">
    <w:abstractNumId w:val="9"/>
  </w:num>
  <w:num w:numId="10" w16cid:durableId="587617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3776599">
    <w:abstractNumId w:val="9"/>
  </w:num>
  <w:num w:numId="12" w16cid:durableId="1581209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593638">
    <w:abstractNumId w:val="0"/>
  </w:num>
  <w:num w:numId="14" w16cid:durableId="419103968">
    <w:abstractNumId w:val="8"/>
  </w:num>
  <w:num w:numId="15" w16cid:durableId="640038611">
    <w:abstractNumId w:val="11"/>
  </w:num>
  <w:num w:numId="16" w16cid:durableId="1942034065">
    <w:abstractNumId w:val="6"/>
  </w:num>
  <w:num w:numId="17" w16cid:durableId="1715498092">
    <w:abstractNumId w:val="10"/>
  </w:num>
  <w:num w:numId="18" w16cid:durableId="1653409083">
    <w:abstractNumId w:val="7"/>
  </w:num>
  <w:num w:numId="19" w16cid:durableId="1090855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6915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4332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2271271">
    <w:abstractNumId w:val="4"/>
  </w:num>
  <w:num w:numId="23" w16cid:durableId="925848722">
    <w:abstractNumId w:val="14"/>
  </w:num>
  <w:num w:numId="24" w16cid:durableId="1216744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2158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9870103">
    <w:abstractNumId w:val="15"/>
  </w:num>
  <w:num w:numId="27" w16cid:durableId="723676957">
    <w:abstractNumId w:val="3"/>
  </w:num>
  <w:num w:numId="28" w16cid:durableId="1191799546">
    <w:abstractNumId w:val="13"/>
  </w:num>
  <w:num w:numId="29" w16cid:durableId="211020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3133A"/>
    <w:rsid w:val="000527FB"/>
    <w:rsid w:val="00076465"/>
    <w:rsid w:val="000A1A00"/>
    <w:rsid w:val="000C4D9A"/>
    <w:rsid w:val="000D2A14"/>
    <w:rsid w:val="000F044E"/>
    <w:rsid w:val="000F3624"/>
    <w:rsid w:val="001665EE"/>
    <w:rsid w:val="00192445"/>
    <w:rsid w:val="001B7191"/>
    <w:rsid w:val="001C647B"/>
    <w:rsid w:val="001C697E"/>
    <w:rsid w:val="001D308C"/>
    <w:rsid w:val="001F0EF5"/>
    <w:rsid w:val="001F7957"/>
    <w:rsid w:val="00201F9F"/>
    <w:rsid w:val="0020212B"/>
    <w:rsid w:val="002205F4"/>
    <w:rsid w:val="00233E54"/>
    <w:rsid w:val="00251A4B"/>
    <w:rsid w:val="00264BB2"/>
    <w:rsid w:val="00271DD3"/>
    <w:rsid w:val="00275568"/>
    <w:rsid w:val="00292DBE"/>
    <w:rsid w:val="0029766C"/>
    <w:rsid w:val="002A05B2"/>
    <w:rsid w:val="002A6AF2"/>
    <w:rsid w:val="002B7BF6"/>
    <w:rsid w:val="002F7E51"/>
    <w:rsid w:val="00306352"/>
    <w:rsid w:val="00313578"/>
    <w:rsid w:val="003336AE"/>
    <w:rsid w:val="00360D85"/>
    <w:rsid w:val="00372466"/>
    <w:rsid w:val="003948A0"/>
    <w:rsid w:val="0039799E"/>
    <w:rsid w:val="003C083B"/>
    <w:rsid w:val="003F062B"/>
    <w:rsid w:val="003F1AE1"/>
    <w:rsid w:val="00415E2B"/>
    <w:rsid w:val="00446C67"/>
    <w:rsid w:val="00465F35"/>
    <w:rsid w:val="004706F5"/>
    <w:rsid w:val="00482700"/>
    <w:rsid w:val="004A460B"/>
    <w:rsid w:val="004E3ABB"/>
    <w:rsid w:val="005357A6"/>
    <w:rsid w:val="00552450"/>
    <w:rsid w:val="005558FB"/>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72E94"/>
    <w:rsid w:val="00695857"/>
    <w:rsid w:val="006D3199"/>
    <w:rsid w:val="006E6A9B"/>
    <w:rsid w:val="007003D6"/>
    <w:rsid w:val="007025BC"/>
    <w:rsid w:val="00707C17"/>
    <w:rsid w:val="00731E75"/>
    <w:rsid w:val="00735105"/>
    <w:rsid w:val="0074249A"/>
    <w:rsid w:val="00745254"/>
    <w:rsid w:val="007547EF"/>
    <w:rsid w:val="00780F72"/>
    <w:rsid w:val="007921EC"/>
    <w:rsid w:val="007C30C3"/>
    <w:rsid w:val="007C7044"/>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8D451F"/>
    <w:rsid w:val="00900AB3"/>
    <w:rsid w:val="009151DE"/>
    <w:rsid w:val="009446FE"/>
    <w:rsid w:val="009535AA"/>
    <w:rsid w:val="009553E9"/>
    <w:rsid w:val="009A0912"/>
    <w:rsid w:val="009A3693"/>
    <w:rsid w:val="009A46C4"/>
    <w:rsid w:val="009B347B"/>
    <w:rsid w:val="009C55C0"/>
    <w:rsid w:val="009C588D"/>
    <w:rsid w:val="009D2726"/>
    <w:rsid w:val="009E6DE9"/>
    <w:rsid w:val="009F0FFE"/>
    <w:rsid w:val="009F315B"/>
    <w:rsid w:val="009F7EB9"/>
    <w:rsid w:val="00A1057D"/>
    <w:rsid w:val="00A16992"/>
    <w:rsid w:val="00A63ABF"/>
    <w:rsid w:val="00A837A8"/>
    <w:rsid w:val="00AA6DE0"/>
    <w:rsid w:val="00AC1DC0"/>
    <w:rsid w:val="00AC7ADA"/>
    <w:rsid w:val="00AD622F"/>
    <w:rsid w:val="00AE2A39"/>
    <w:rsid w:val="00AE797A"/>
    <w:rsid w:val="00B2465A"/>
    <w:rsid w:val="00B35819"/>
    <w:rsid w:val="00B40244"/>
    <w:rsid w:val="00B43293"/>
    <w:rsid w:val="00B53582"/>
    <w:rsid w:val="00BA1CE4"/>
    <w:rsid w:val="00BA368E"/>
    <w:rsid w:val="00BE283F"/>
    <w:rsid w:val="00C07D48"/>
    <w:rsid w:val="00C20C57"/>
    <w:rsid w:val="00C3030B"/>
    <w:rsid w:val="00C35C23"/>
    <w:rsid w:val="00C83888"/>
    <w:rsid w:val="00C84B15"/>
    <w:rsid w:val="00CA3274"/>
    <w:rsid w:val="00CA4C51"/>
    <w:rsid w:val="00CA4E51"/>
    <w:rsid w:val="00CA6D64"/>
    <w:rsid w:val="00CB4E89"/>
    <w:rsid w:val="00CD360C"/>
    <w:rsid w:val="00CF2F84"/>
    <w:rsid w:val="00CF4ADD"/>
    <w:rsid w:val="00D116C8"/>
    <w:rsid w:val="00D5624E"/>
    <w:rsid w:val="00D57096"/>
    <w:rsid w:val="00D67BE8"/>
    <w:rsid w:val="00D87241"/>
    <w:rsid w:val="00D90D49"/>
    <w:rsid w:val="00DC44C6"/>
    <w:rsid w:val="00DF1ABA"/>
    <w:rsid w:val="00E03324"/>
    <w:rsid w:val="00E13D04"/>
    <w:rsid w:val="00E25846"/>
    <w:rsid w:val="00E306C0"/>
    <w:rsid w:val="00ED701A"/>
    <w:rsid w:val="00EE3E3C"/>
    <w:rsid w:val="00F00416"/>
    <w:rsid w:val="00F120EC"/>
    <w:rsid w:val="00F157AE"/>
    <w:rsid w:val="00F36D4A"/>
    <w:rsid w:val="00F615CA"/>
    <w:rsid w:val="00F65B71"/>
    <w:rsid w:val="00F76537"/>
    <w:rsid w:val="00F80001"/>
    <w:rsid w:val="00F975E1"/>
    <w:rsid w:val="00FA5AF2"/>
    <w:rsid w:val="00FC2A6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s://www.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210</Number>
    <Section xmlns="409cf07c-705a-4568-bc2e-e1a7cd36a2d3" xsi:nil="true"/>
    <Calendar_x0020_Year xmlns="409cf07c-705a-4568-bc2e-e1a7cd36a2d3">2024</Calendar_x0020_Year>
    <Course_x0020_Name xmlns="409cf07c-705a-4568-bc2e-e1a7cd36a2d3">Intro Financial Accounting</Course_x0020_Name>
    <Instructor xmlns="409cf07c-705a-4568-bc2e-e1a7cd36a2d3" xsi:nil="true"/>
    <Pre xmlns="409cf07c-705a-4568-bc2e-e1a7cd36a2d3">1</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FEDC7F2B-B396-490A-A2A4-25A52AB0D349}"/>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3</cp:revision>
  <dcterms:created xsi:type="dcterms:W3CDTF">2024-01-16T19:04:00Z</dcterms:created>
  <dcterms:modified xsi:type="dcterms:W3CDTF">2024-01-16T19:04:00Z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3855008419ac8c2e9fffeece176c297d87c292bc8de356a0bb5d215f2bd54813</vt:lpwstr>
  </property>
</Properties>
</file>